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§3870. CONVALESCENT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