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9909</w:t>
        <w:t xml:space="preserve">.  </w:t>
      </w:r>
      <w:r>
        <w:rPr>
          <w:b/>
        </w:rPr>
        <w:t xml:space="preserve">State council -- Article 9</w:t>
      </w:r>
    </w:p>
    <w:p>
      <w:pPr>
        <w:jc w:val="both"/>
        <w:spacing w:before="100" w:after="100"/>
        <w:ind w:start="360"/>
        <w:ind w:firstLine="360"/>
      </w:pPr>
      <w:r>
        <w:rPr/>
      </w:r>
      <w:r>
        <w:rPr/>
      </w:r>
      <w:r>
        <w:t xml:space="preserve">Each compacting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or the compact administrator's designee.  Each compacting state retains the right to determine the qualifications of the compact administrator or deputy compact administrator.  Each state council shall advise and may exercise oversight and advocacy concerning that state's participation in interstate commission activities and other duties as may be determined by that state, including, but not limited to, development of policy concerning operations and procedures of the compact within that state.</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§9909. State council -- Article 9</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§9909. State council -- Article 9</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§9909. STATE COUNCIL -- ARTICLE 9</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