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Definitions--Article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§9402. DEFINITIONS--ARTICLE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