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4, paragraph E</w:t>
      </w:r>
      <w:r>
        <w:t xml:space="preserve">, on the schedule and in the format required by the council.  Failure of a jail to report as required may result in delayed quarterly payments to the counties as provided in </w:t>
      </w:r>
      <w:r>
        <w:t>subsection 5</w:t>
      </w:r>
      <w:r>
        <w:t xml:space="preserve"> and as set forth by rule.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§4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State Purchasing Agent.</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 (NEW).]</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