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574</w:t>
        <w:t xml:space="preserve">.  </w:t>
      </w:r>
      <w:r>
        <w:rPr>
          <w:b/>
        </w:rPr>
        <w:t xml:space="preserve">Subsequent resubmission</w:t>
      </w:r>
    </w:p>
    <w:p>
      <w:pPr>
        <w:jc w:val="both"/>
        <w:spacing w:before="100" w:after="100"/>
        <w:ind w:start="360"/>
        <w:ind w:firstLine="360"/>
      </w:pPr>
      <w:r>
        <w:rPr/>
      </w:r>
      <w:r>
        <w:rPr/>
      </w:r>
      <w:r>
        <w:t xml:space="preserve">The removal provided for in </w:t>
      </w:r>
      <w:r>
        <w:t>section 573</w:t>
      </w:r>
      <w:r>
        <w:t xml:space="preserve"> shall not bar the subsequent resubmission of the property to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1965, c. 357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§574. Subsequent resubmission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§574. Subsequent resubmission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§574. SUBSEQUENT RESUBMISSION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