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Specific performance after death of purchaser</w:t>
      </w:r>
    </w:p>
    <w:p>
      <w:pPr>
        <w:jc w:val="both"/>
        <w:spacing w:before="100" w:after="100"/>
        <w:ind w:start="360"/>
        <w:ind w:firstLine="360"/>
      </w:pPr>
      <w:r>
        <w:rPr/>
      </w:r>
      <w:r>
        <w:rPr/>
      </w:r>
      <w:r>
        <w:t xml:space="preserve">If the person entitled to such conveyance dies before bringing his action, or before the conveyance is completed or such seizin and possession are obtained, his personal representative, or the successor to the property if there is no administration may bring and prosecute such action, and shall be entitled to the conveyance or seizin and possession in like manner as the obligee.</w:t>
      </w:r>
      <w:r>
        <w:t xml:space="preserve">  </w:t>
      </w:r>
      <w:r xmlns:wp="http://schemas.openxmlformats.org/drawingml/2010/wordprocessingDrawing" xmlns:w15="http://schemas.microsoft.com/office/word/2012/wordml">
        <w:rPr>
          <w:rFonts w:ascii="Arial" w:hAnsi="Arial" w:cs="Arial"/>
          <w:sz w:val="22"/>
          <w:szCs w:val="22"/>
        </w:rPr>
        <w:t xml:space="preserve">[PL 1979, c. 540,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Specific performance after death of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Specific performance after death of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 SPECIFIC PERFORMANCE AFTER DEATH OF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