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Witness dead or absent</w:t>
      </w:r>
    </w:p>
    <w:p>
      <w:pPr>
        <w:jc w:val="both"/>
        <w:spacing w:before="100" w:after="100"/>
        <w:ind w:start="360"/>
        <w:ind w:firstLine="360"/>
      </w:pPr>
      <w:r>
        <w:rPr/>
      </w:r>
      <w:r>
        <w:rPr/>
      </w:r>
      <w:r>
        <w:t xml:space="preserve">When the witnesses are dead or out of the State, the handwriting of the grantor and subscribing witness may be proved by other testimony.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Witness dead or absent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Witness dead or absent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§302. WITNESS DEAD OR ABSENT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