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2170</w:t>
        <w:t xml:space="preserve">.  </w:t>
      </w:r>
      <w:r>
        <w:rPr>
          <w:b/>
        </w:rPr>
        <w:t xml:space="preserve">Determination of liability for unreported reportable property</w:t>
      </w:r>
    </w:p>
    <w:p>
      <w:pPr>
        <w:jc w:val="both"/>
        <w:spacing w:before="100" w:after="100"/>
        <w:ind w:start="360"/>
        <w:ind w:firstLine="360"/>
      </w:pPr>
      <w:r>
        <w:rPr/>
      </w:r>
      <w:r>
        <w:rPr/>
      </w:r>
      <w:r>
        <w:t xml:space="preserve">If the administrator determines from an examination conducted under </w:t>
      </w:r>
      <w:r>
        <w:t>section 2162</w:t>
      </w:r>
      <w:r>
        <w:t xml:space="preserve"> that a putative holder failed or refused to pay or deliver to the administrator property that is reportable under this Act, the administrator shall issue a determination of the putative holder's liability to pay or deliver and shall give notice in a record to the putative holder of the determination.</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§2170. Determination of liability for unreported reportable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§2170. Determination of liability for unreported reportable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§2170. DETERMINATION OF LIABILITY FOR UNREPORTED REPORTABLE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