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2166</w:t>
        <w:t xml:space="preserve">.  </w:t>
      </w:r>
      <w:r>
        <w:rPr>
          <w:b/>
        </w:rPr>
        <w:t xml:space="preserve">Failure of person examined to retain records</w:t>
      </w:r>
    </w:p>
    <w:p>
      <w:pPr>
        <w:jc w:val="both"/>
        <w:spacing w:before="100" w:after="100"/>
        <w:ind w:start="360"/>
        <w:ind w:firstLine="360"/>
      </w:pPr>
      <w:r>
        <w:rPr/>
      </w:r>
      <w:r>
        <w:rPr/>
      </w:r>
      <w:r>
        <w:t xml:space="preserve">If a person subject to examination under </w:t>
      </w:r>
      <w:r>
        <w:t>section 2162</w:t>
      </w:r>
      <w:r>
        <w:t xml:space="preserve"> does not retain the records as required by </w:t>
      </w:r>
      <w:r>
        <w:t>section 2094</w:t>
      </w:r>
      <w:r>
        <w:t xml:space="preserve">,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and in accordance with </w:t>
      </w:r>
      <w:r>
        <w:t>section 2163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§2166. Failure of person examined to retain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§2166. Failure of person examined to retain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§2166. FAILURE OF PERSON EXAMINED TO RETAIN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