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2086</w:t>
        <w:t xml:space="preserve">.  </w:t>
      </w:r>
      <w:r>
        <w:rPr>
          <w:b/>
        </w:rPr>
        <w:t xml:space="preserve">Traveler's check, money order or similar instrument</w:t>
      </w:r>
    </w:p>
    <w:p>
      <w:pPr>
        <w:jc w:val="both"/>
        <w:spacing w:before="100" w:after="100"/>
        <w:ind w:start="360"/>
        <w:ind w:firstLine="360"/>
      </w:pPr>
      <w:r>
        <w:rPr/>
      </w:r>
      <w:r>
        <w:rPr/>
      </w:r>
      <w:r>
        <w:t xml:space="preserve">The administrator may take custody of sums payable on a traveler's check, money order or similar instrument presumed abandoned to the extent permissible under 12 United States Code, Sections 2501 to 2503, as amended.</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§2086. Traveler's check, money order or similar instrument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§2086. Traveler's check, money order or similar instrument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§2086. TRAVELER'S CHECK, MONEY ORDER OR SIMILAR INSTRUMENT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