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Recording by compulsion</w:t>
      </w:r>
    </w:p>
    <w:p>
      <w:pPr>
        <w:jc w:val="both"/>
        <w:spacing w:before="100" w:after="100"/>
        <w:ind w:start="360"/>
        <w:ind w:firstLine="360"/>
      </w:pPr>
      <w:r>
        <w:rPr/>
      </w:r>
      <w:r>
        <w:rPr/>
      </w:r>
      <w:r>
        <w:t xml:space="preserve">A person having an interest in real estate of which any prior grantee has an unrecorded deed or other evidence of title may give the latter personal notice in writing to have the same recorded. If he neglects to have it so recorded for 30 days, the Superior Court, on complaint, may cause said grantee or his heirs to be brought before it for examination and, unless sufficient cause is shown for such neglect, may order such deed or other evidence of title to be recorded, and the cost paid by the defendant, together with the legal fees of the register for recording such deed or other evidence of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Recording by compulsion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Recording by compulsion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 RECORDING BY COMPULSION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