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7062</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673, §3 (NEW). PL 1987, c. 395, §B20 (AMD). PL 2007, c. 402, Pt. V,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§7062.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§7062.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§7062.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