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 Registration and annual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§6173. REGISTRATION AND ANNUAL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