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5505</w:t>
        <w:t xml:space="preserve">.  </w:t>
      </w:r>
      <w:r>
        <w:rPr>
          <w:b/>
        </w:rPr>
        <w:t xml:space="preserve">Board; organization</w:t>
      </w:r>
    </w:p>
    <w:p>
      <w:pPr>
        <w:jc w:val="both"/>
        <w:spacing w:before="100" w:after="0"/>
        <w:ind w:start="360"/>
        <w:ind w:firstLine="360"/>
      </w:pPr>
      <w:r>
        <w:rPr>
          <w:b/>
        </w:rPr>
        <w:t>1</w:t>
        <w:t xml:space="preserve">.  </w:t>
      </w:r>
      <w:r>
        <w:rPr>
          <w:b/>
        </w:rPr>
        <w:t xml:space="preserve">Establishment; purpose.</w:t>
        <w:t xml:space="preserve"> </w:t>
      </w:r>
      <w:r>
        <w:t xml:space="preserve"> </w:t>
      </w:r>
      <w:r>
        <w:t xml:space="preserve">The Board of Licensure of Foresters, as established within the department pursuant to </w:t>
      </w:r>
      <w:r>
        <w:t>Title 5, section 12004‑A, subsection 17</w:t>
      </w:r>
      <w:r>
        <w:t xml:space="preserve">, administers the provisions of this chapter to protect the public by improving the standards relative to the practice of forestry, to protect the public from unqualified practitioners and to help ensure the proper management of the forest resources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w:t>
      </w:r>
    </w:p>
    <w:p>
      <w:pPr>
        <w:jc w:val="both"/>
        <w:spacing w:before="100" w:after="100"/>
        <w:ind w:start="360"/>
        <w:ind w:firstLine="360"/>
      </w:pPr>
      <w:r>
        <w:rPr>
          <w:b/>
        </w:rPr>
        <w:t>2</w:t>
        <w:t xml:space="preserve">.  </w:t>
      </w:r>
      <w:r>
        <w:rPr>
          <w:b/>
        </w:rPr>
        <w:t xml:space="preserve">Members.</w:t>
        <w:t xml:space="preserve"> </w:t>
      </w:r>
      <w:r>
        <w:t xml:space="preserve"> </w:t>
      </w:r>
      <w:r>
        <w:t xml:space="preserve">The board consists of 6 members appointed by the Governor.  Each member must be a resident of this State.  The board consists of:</w:t>
      </w:r>
    </w:p>
    <w:p>
      <w:pPr>
        <w:jc w:val="both"/>
        <w:spacing w:before="100" w:after="0"/>
        <w:ind w:start="720"/>
      </w:pPr>
      <w:r>
        <w:rPr/>
        <w:t>A</w:t>
        <w:t xml:space="preserve">.  </w:t>
      </w:r>
      <w:r>
        <w:rPr/>
      </w:r>
      <w:r>
        <w:t xml:space="preserve">One public member as defined in </w:t>
      </w:r>
      <w:r>
        <w:t>Title 5, section 12004‑A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402, Pt. T, §2 (AMD).]</w:t>
      </w:r>
    </w:p>
    <w:p>
      <w:pPr>
        <w:jc w:val="both"/>
        <w:spacing w:before="100" w:after="0"/>
        <w:ind w:start="720"/>
      </w:pPr>
      <w:r>
        <w:rPr/>
        <w:t>B</w:t>
        <w:t xml:space="preserve">.  </w:t>
      </w:r>
      <w:r>
        <w:rPr/>
      </w:r>
      <w:r>
        <w:t xml:space="preserve">Five foresters who hold valid licenses.</w:t>
      </w:r>
      <w:r>
        <w:t xml:space="preserve">  </w:t>
      </w:r>
      <w:r xmlns:wp="http://schemas.openxmlformats.org/drawingml/2010/wordprocessingDrawing" xmlns:w15="http://schemas.microsoft.com/office/word/2012/wordml">
        <w:rPr>
          <w:rFonts w:ascii="Arial" w:hAnsi="Arial" w:cs="Arial"/>
          <w:sz w:val="22"/>
          <w:szCs w:val="22"/>
        </w:rPr>
        <w:t xml:space="preserve">[PL 2001, c. 261,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T, §2 (AMD).]</w:t>
      </w:r>
    </w:p>
    <w:p>
      <w:pPr>
        <w:jc w:val="both"/>
        <w:spacing w:before="100" w:after="0"/>
        <w:ind w:start="360"/>
        <w:ind w:firstLine="360"/>
      </w:pPr>
      <w:r>
        <w:rPr>
          <w:b/>
        </w:rPr>
        <w:t>3</w:t>
        <w:t xml:space="preserve">.  </w:t>
      </w:r>
      <w:r>
        <w:rPr>
          <w:b/>
        </w:rPr>
        <w:t xml:space="preserve">Terms; removal.</w:t>
        <w:t xml:space="preserve"> </w:t>
      </w:r>
      <w:r>
        <w:t xml:space="preserve"> </w:t>
      </w:r>
      <w:r>
        <w:t xml:space="preserve">Terms of the members of the board are for 3 years.  Appointments of members must comply with </w:t>
      </w:r>
      <w:r>
        <w:t>Title 10, section 8009</w:t>
      </w:r>
      <w:r>
        <w:t xml:space="preserve">.  Members may be removed by the Governor for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T, §2 (AMD).]</w:t>
      </w:r>
    </w:p>
    <w:p>
      <w:pPr>
        <w:jc w:val="both"/>
        <w:spacing w:before="100" w:after="0"/>
        <w:ind w:start="360"/>
        <w:ind w:firstLine="360"/>
      </w:pPr>
      <w:r>
        <w:rPr>
          <w:b/>
        </w:rPr>
        <w:t>4</w:t>
        <w:t xml:space="preserve">.  </w:t>
      </w:r>
      <w:r>
        <w:rPr>
          <w:b/>
        </w:rPr>
        <w:t xml:space="preserve">Meetings; chair.</w:t>
        <w:t xml:space="preserve"> </w:t>
      </w:r>
      <w:r>
        <w:t xml:space="preserve"> </w:t>
      </w:r>
      <w:r>
        <w:t xml:space="preserve">The board shall meet at least once a year to conduct its business and to elect a chair.  Additional meetings must be held as necessary to conduct the business of the board and may be convened at the call of the chair or a majority of the board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246, Pt. B, §15 (AMD).]</w:t>
      </w:r>
    </w:p>
    <w:p>
      <w:pPr>
        <w:jc w:val="both"/>
        <w:spacing w:before="100" w:after="0"/>
        <w:ind w:start="360"/>
        <w:ind w:firstLine="360"/>
      </w:pPr>
      <w:r>
        <w:rPr>
          <w:b/>
        </w:rPr>
        <w:t>5</w:t>
        <w:t xml:space="preserve">.  </w:t>
      </w:r>
      <w:r>
        <w:rPr>
          <w:b/>
        </w:rPr>
        <w:t xml:space="preserve">Election of officers.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T,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261, §4 (NEW). PL 2007, c. 402, Pt. T, §2 (AMD). PL 2013, c. 246, Pt. B,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§5505. Board;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§5505. Board;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§5505. BOARD;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