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3403-A</w:t>
        <w:t xml:space="preserve">.  </w:t>
      </w:r>
      <w:r>
        <w:rPr>
          <w:b/>
        </w:rPr>
        <w:t xml:space="preserve">Powers and duties</w:t>
      </w:r>
    </w:p>
    <w:p>
      <w:pPr>
        <w:jc w:val="both"/>
        <w:spacing w:before="100" w:after="100"/>
        <w:ind w:start="360"/>
        <w:ind w:firstLine="360"/>
      </w:pPr>
      <w:r>
        <w:rPr/>
      </w:r>
      <w:r>
        <w:rPr/>
      </w:r>
      <w:r>
        <w:t xml:space="preserve">The board shall administer, coordinate and enforce this chapter and has the following powers and duties in addition to those otherwise set forth in this chapter.</w:t>
      </w:r>
      <w:r>
        <w:t xml:space="preserve">  </w:t>
      </w:r>
      <w:r xmlns:wp="http://schemas.openxmlformats.org/drawingml/2010/wordprocessingDrawing" xmlns:w15="http://schemas.microsoft.com/office/word/2012/wordml">
        <w:rPr>
          <w:rFonts w:ascii="Arial" w:hAnsi="Arial" w:cs="Arial"/>
          <w:sz w:val="22"/>
          <w:szCs w:val="22"/>
        </w:rPr>
        <w:t xml:space="preserve">[PL 2007, c. 402, Pt. O, §4 (AMD).]</w:t>
      </w:r>
    </w:p>
    <w:p>
      <w:pPr>
        <w:jc w:val="both"/>
        <w:spacing w:before="100" w:after="0"/>
        <w:ind w:start="360"/>
        <w:ind w:firstLine="360"/>
      </w:pPr>
      <w:r>
        <w:rPr>
          <w:b/>
        </w:rPr>
        <w:t>1</w:t>
        <w:t xml:space="preserve">.  </w:t>
      </w:r>
      <w:r>
        <w:rPr>
          <w:b/>
        </w:rPr>
        <w:t xml:space="preserve">Rules.</w:t>
        <w:t xml:space="preserve"> </w:t>
      </w:r>
      <w:r>
        <w:t xml:space="preserve"> </w:t>
      </w:r>
      <w:r>
        <w:t xml:space="preserve">The board may, in accordance with </w:t>
      </w:r>
      <w:r>
        <w:t>Title 5, chapter 375, subchapter 2</w:t>
      </w:r>
      <w:r>
        <w:t xml:space="preserve">, adopt rules commensurate with the authority vested in it by this chapter.  These rules may include, but not be limited to, internal plumbing, licensing requirements, examinations and reciprocity of licensing with similar boards of other states that maintain standards equivalent to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O, §4 (AMD).]</w:t>
      </w:r>
    </w:p>
    <w:p>
      <w:pPr>
        <w:jc w:val="both"/>
        <w:spacing w:before="100" w:after="0"/>
        <w:ind w:start="360"/>
        <w:ind w:firstLine="360"/>
      </w:pPr>
      <w:r>
        <w:rPr>
          <w:b/>
        </w:rPr>
        <w:t>2</w:t>
        <w:t xml:space="preserve">.  </w:t>
      </w:r>
      <w:r>
        <w:rPr>
          <w:b/>
        </w:rPr>
        <w:t xml:space="preserve">Hearings.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O, §4 (RP).]</w:t>
      </w:r>
    </w:p>
    <w:p>
      <w:pPr>
        <w:jc w:val="both"/>
        <w:spacing w:before="100" w:after="0"/>
        <w:ind w:start="360"/>
        <w:ind w:firstLine="360"/>
      </w:pPr>
      <w:r>
        <w:rPr>
          <w:b/>
        </w:rPr>
        <w:t>3</w:t>
        <w:t xml:space="preserve">.  </w:t>
      </w:r>
      <w:r>
        <w:rPr>
          <w:b/>
        </w:rPr>
        <w:t xml:space="preserve">Contracts.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O, §4 (RP).]</w:t>
      </w:r>
    </w:p>
    <w:p>
      <w:pPr>
        <w:jc w:val="both"/>
        <w:spacing w:before="100" w:after="0"/>
        <w:ind w:start="360"/>
        <w:ind w:firstLine="360"/>
      </w:pPr>
      <w:r>
        <w:rPr>
          <w:b/>
        </w:rPr>
        <w:t>4</w:t>
        <w:t xml:space="preserve">.  </w:t>
      </w:r>
      <w:r>
        <w:rPr>
          <w:b/>
        </w:rPr>
        <w:t xml:space="preserve">Fees.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386, Pt. L, §4 (RP).]</w:t>
      </w:r>
    </w:p>
    <w:p>
      <w:pPr>
        <w:jc w:val="both"/>
        <w:spacing w:before="100" w:after="0"/>
        <w:ind w:start="360"/>
        <w:ind w:firstLine="360"/>
      </w:pPr>
      <w:r>
        <w:rPr>
          <w:b/>
        </w:rPr>
        <w:t>5</w:t>
        <w:t xml:space="preserve">.  </w:t>
      </w:r>
      <w:r>
        <w:rPr>
          <w:b/>
        </w:rPr>
        <w:t xml:space="preserve">Orders.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386, Pt. L, §5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413, §143 (NEW). PL 1985, c. 389, §19 (AMD). PL 1989, c. 878, §§B28,29 (AMD). PL 1997, c. 727, §C8 (AMD). PL 1999, c. 386, §§L4,5 (AMD). PL 2007, c. 402, Pt. O,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§3403-A.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§3403-A.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§3403-A.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