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3297</w:t>
        <w:t xml:space="preserve">.  </w:t>
      </w:r>
      <w:r>
        <w:rPr>
          <w:b/>
        </w:rPr>
        <w:t xml:space="preserve">Posting of policy regarding acceptance of Medicare assignment</w:t>
      </w:r>
    </w:p>
    <w:p>
      <w:pPr>
        <w:jc w:val="both"/>
        <w:spacing w:before="100" w:after="100"/>
        <w:ind w:start="360"/>
        <w:ind w:firstLine="360"/>
      </w:pPr>
      <w:r>
        <w:rPr/>
      </w:r>
      <w:r>
        <w:rPr/>
      </w:r>
      <w:r>
        <w:t xml:space="preserve">An allopathic physician licensed pursuant to </w:t>
      </w:r>
      <w:r>
        <w:t>chapter 48</w:t>
      </w:r>
      <w:r>
        <w:t xml:space="preserve">, an osteopathic physician licensed pursuant to </w:t>
      </w:r>
      <w:r>
        <w:t>chapter 36</w:t>
      </w:r>
      <w:r>
        <w:t xml:space="preserve">, a chiropractor licensed pursuant to </w:t>
      </w:r>
      <w:r>
        <w:t>chapter 9</w:t>
      </w:r>
      <w:r>
        <w:t xml:space="preserve"> and a podiatrist licensed pursuant to </w:t>
      </w:r>
      <w:r>
        <w:t>chapter 51</w:t>
      </w:r>
      <w:r>
        <w:t xml:space="preserve"> who treats Medicare-eligible individuals shall post in a conspicuous place that professional's policy regarding the acceptance of Medicare assignment.</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This posting must state the policy on accepting assignment and name the individual with whom the patient should communicate regarding the policy.</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The Board of Licensure in Medicine, the Board of Osteopathic Licensure, the Board of Licensure of Podiatric Medicine and the Board of Chiropractic Licensure shall enforce the provisions of this section and inform each licensee of the licensee's obligation under this law.  Each board may discipline a licensee under its jurisdiction for failing to comply with this section and impose a monetary penalty of not less than $100 and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325 (NEW). PL 1987, c. 719 (AMD). PL 1993, c. 600, §A224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§3297. Posting of policy regarding acceptance of Medicare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§3297. POSTING OF POLICY REGARDING ACCEPTANCE OF MEDICARE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