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This section may not be construed to prohibit the licensed individual rendering the prevention services or treatment or collection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145, §3 (RPR). PL 1979, c. 96, §3 (AMD). PL 1993, c. 600, §A221 (AMD). PL 1999, c. 90, §4 (AMD). PL 2017, c. 407, Pt. A, §128 (AMD). PL 2019, c. 236,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§3292.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§3292.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