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0-DD</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0-DD.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0-DD.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0-DD.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