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18704</w:t>
        <w:t xml:space="preserve">.  </w:t>
      </w:r>
      <w:r>
        <w:rPr>
          <w:b/>
        </w:rPr>
        <w:t xml:space="preserve">State participation in the compact</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b/>
        </w:rPr>
        <w:t>1</w:t>
        <w:t xml:space="preserve">.  </w:t>
      </w:r>
      <w:r>
        <w:rPr>
          <w:b/>
        </w:rPr>
        <w:t xml:space="preserve">Participation requirements.</w:t>
        <w:t xml:space="preserve"> </w:t>
      </w:r>
      <w:r>
        <w:t xml:space="preserve"> </w:t>
      </w:r>
      <w:r>
        <w:t xml:space="preserve">To participate in the compact, a state must:</w:t>
      </w:r>
    </w:p>
    <w:p>
      <w:pPr>
        <w:jc w:val="both"/>
        <w:spacing w:before="100" w:after="0"/>
        <w:ind w:start="720"/>
      </w:pPr>
      <w:r>
        <w:rPr/>
        <w:t>A</w:t>
        <w:t xml:space="preserve">.  </w:t>
      </w:r>
      <w:r>
        <w:rPr/>
      </w:r>
      <w:r>
        <w:t xml:space="preserve">Participate fully in the commission's data system, including using the commission's unique identifier as defined in rules;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Have a mechanism in place for receiving and investigating complaints about licensees;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Notify the commission, in compliance with the terms of the compact and rules, of any adverse action or the availability of investigative information regarding a licensee;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D</w:t>
        <w:t xml:space="preserve">.  </w:t>
      </w:r>
      <w:r>
        <w:rPr/>
      </w:r>
      <w:r>
        <w:t xml:space="preserve">Fully implement a criminal background check requirement, within a time frame established by rule, by receiving the results of the Federal Bureau of Investigation record search on criminal background checks and use the results in making licensure decisions in accordance with subsection 2;</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E</w:t>
        <w:t xml:space="preserve">.  </w:t>
      </w:r>
      <w:r>
        <w:rPr/>
      </w:r>
      <w:r>
        <w:t xml:space="preserve">Comply with the rules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F</w:t>
        <w:t xml:space="preserve">.  </w:t>
      </w:r>
      <w:r>
        <w:rPr/>
      </w:r>
      <w:r>
        <w:t xml:space="preserve">Utilize a recognized national examination as a requirement for licensure pursuant to the rules of the commission; and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G</w:t>
        <w:t xml:space="preserve">.  </w:t>
      </w:r>
      <w:r>
        <w:rPr/>
      </w:r>
      <w:r>
        <w:t xml:space="preserve">Have continuing competence requirements as a condition for license renewal.</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2</w:t>
        <w:t xml:space="preserve">.  </w:t>
      </w:r>
      <w:r>
        <w:rPr>
          <w:b/>
        </w:rPr>
        <w:t xml:space="preserve">Biometric-based information.</w:t>
        <w:t xml:space="preserve"> </w:t>
      </w:r>
      <w:r>
        <w:t xml:space="preserve"> </w:t>
      </w:r>
      <w:r>
        <w:t xml:space="preserve">Upon adoption of this compact, the member state has the authority to obtain biometric-based information from each physical therapy licensure applicant and submit this information to the Federal Bureau of Investigation for a criminal background check in accordance with 28 United States Code, Section 534 and 42 United States Code, Section 14616.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3</w:t>
        <w:t xml:space="preserve">.  </w:t>
      </w:r>
      <w:r>
        <w:rPr>
          <w:b/>
        </w:rPr>
        <w:t xml:space="preserve">Compact privilege.</w:t>
        <w:t xml:space="preserve"> </w:t>
      </w:r>
      <w:r>
        <w:t xml:space="preserve"> </w:t>
      </w:r>
      <w:r>
        <w:t xml:space="preserve">A member state shall grant the compact privilege to a licensee holding a valid unencumbered license in another member state in accordance with the terms of the compact and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4</w:t>
        <w:t xml:space="preserve">.  </w:t>
      </w:r>
      <w:r>
        <w:rPr>
          <w:b/>
        </w:rPr>
        <w:t xml:space="preserve">Fees.</w:t>
        <w:t xml:space="preserve"> </w:t>
      </w:r>
      <w:r>
        <w:t xml:space="preserve"> </w:t>
      </w:r>
      <w:r>
        <w:t xml:space="preserve">Member states may charge a fee for granting a compact privilege.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329, §3 (AFF). PL 2023, c. 643, Pt. DDD,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§18704. State participation in the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§18704. State participation in the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§18704. STATE PARTICIPATION IN THE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