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18394</w:t>
        <w:t xml:space="preserve">.  </w:t>
      </w:r>
      <w:r>
        <w:rPr>
          <w:b/>
        </w:rPr>
        <w:t xml:space="preserve">Teledentistry</w:t>
      </w:r>
    </w:p>
    <w:p>
      <w:pPr>
        <w:jc w:val="both"/>
        <w:spacing w:before="100" w:after="100"/>
        <w:ind w:start="360"/>
        <w:ind w:firstLine="360"/>
      </w:pPr>
      <w:r>
        <w:rPr/>
      </w:r>
      <w:r>
        <w:rPr/>
      </w:r>
      <w:r>
        <w:t xml:space="preserve">An individual licensed under this chapter may provide oral health care services and procedures authorized under this chapter or by rule using teledentistry.  The board shall adopt by rule guidelines and practice standards for the use of teledentistry, including, but not limited to, practice requirements for protecting patient rights and protocols for referrals, quality and safety, informed consent, patient evaluation, treatment parameters, patient records, prescribing, supervision and compliance with data exchange standards for the security and confidentiality of patient information.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§18394. Teledentistry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§18394. Teledentistry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§18394. TELEDENTISTRY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