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18143</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subchapter in amounts that are reasonable and necessary for their respective purposes, except that the fee for any one purpose may not exceed $350 biennially.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344, Pt. C, §3 (NEW); PL 2009, c. 344, Pt. E, §2 (AFF);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§18143.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§18143.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§18143.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