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17505</w:t>
        <w:t xml:space="preserve">.  </w:t>
      </w:r>
      <w:r>
        <w:rPr>
          <w:b/>
        </w:rPr>
        <w:t xml:space="preserve">Compact privilege to practice telehealth</w:t>
      </w:r>
    </w:p>
    <w:p>
      <w:pPr>
        <w:jc w:val="both"/>
        <w:spacing w:before="100" w:after="100"/>
        <w:ind w:start="360"/>
        <w:ind w:firstLine="360"/>
      </w:pPr>
      <w:r>
        <w:rPr/>
      </w:r>
      <w:r>
        <w:rPr/>
      </w:r>
      <w:r>
        <w:t xml:space="preserve">A member state shall recognize the right of an audiologist or speech-language pathologist, licensed by a home state in accordance with </w:t>
      </w:r>
      <w:r>
        <w:t>section 17503</w:t>
      </w:r>
      <w:r>
        <w:t xml:space="preserve"> and under rules promulgated by the commission, to practice audiology or speech-language pathology in any member state through telehealth under a privilege to practice as provided in the compact and rules promulgated by the commission.</w:t>
      </w:r>
      <w:r>
        <w:t xml:space="preserve">  </w:t>
      </w:r>
      <w:r xmlns:wp="http://schemas.openxmlformats.org/drawingml/2010/wordprocessingDrawing" xmlns:w15="http://schemas.microsoft.com/office/word/2012/wordml">
        <w:rPr>
          <w:rFonts w:ascii="Arial" w:hAnsi="Arial" w:cs="Arial"/>
          <w:sz w:val="22"/>
          <w:szCs w:val="22"/>
        </w:rPr>
        <w:t xml:space="preserve">[PL 2023, c. 310,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310,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§17505. Compact privilege to practice telehealth</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§17505. Compact privilege to practice telehealth</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§17505. COMPACT PRIVILEGE TO PRACTICE TELEHEALTH</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