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1503-A</w:t>
        <w:t xml:space="preserve">.  </w:t>
      </w:r>
      <w:r>
        <w:rPr>
          <w:b/>
        </w:rPr>
        <w:t xml:space="preserve">Practitioner trainee</w:t>
      </w:r>
    </w:p>
    <w:p>
      <w:pPr>
        <w:jc w:val="both"/>
        <w:spacing w:before="100" w:after="100"/>
        <w:ind w:start="360"/>
        <w:ind w:firstLine="360"/>
      </w:pPr>
      <w:r>
        <w:rPr/>
      </w:r>
      <w:r>
        <w:rPr/>
      </w:r>
      <w:r>
        <w:t xml:space="preserve">The board may issue a practitioner trainee license to an individual seeking to obtain the necessary experience to be licensed as a practitioner of funeral service.  An individual who receives a practitioner trainee license shall register with the Maine Apprenticeship Program established under </w:t>
      </w:r>
      <w:r>
        <w:t>Title 26, section 3202</w:t>
      </w:r>
      <w:r>
        <w:t xml:space="preserve"> and complete 2,000 hours of training with a funeral establishment approved by the board under the instruction and supervision of a licensed funeral practitioner who is actively engaged in that practice.</w:t>
      </w:r>
      <w:r>
        <w:t xml:space="preserve">  </w:t>
      </w:r>
      <w:r xmlns:wp="http://schemas.openxmlformats.org/drawingml/2010/wordprocessingDrawing" xmlns:w15="http://schemas.microsoft.com/office/word/2012/wordml">
        <w:rPr>
          <w:rFonts w:ascii="Arial" w:hAnsi="Arial" w:cs="Arial"/>
          <w:sz w:val="22"/>
          <w:szCs w:val="22"/>
        </w:rPr>
        <w:t xml:space="preserve">[PL 2017, c. 210, Pt. C, §2 (NEW).]</w:t>
      </w:r>
    </w:p>
    <w:p>
      <w:pPr>
        <w:jc w:val="both"/>
        <w:spacing w:before="100" w:after="100"/>
        <w:ind w:start="360"/>
        <w:ind w:firstLine="360"/>
      </w:pPr>
      <w:r>
        <w:rPr/>
      </w:r>
      <w:r>
        <w:rPr/>
      </w:r>
      <w:r>
        <w:t xml:space="preserve">Upon terminating employment, the practitioner trainee shall notify the board immediately, giving the date of termination.  The practitioner trainee must repeat this procedure with all subsequent employers, accurately showing the dates of beginning and of terminating  employment.  Before a funeral service license may be issued, the practitioner trainee must file with the board a certification of the trainee time served, signed by the practitioner trainee's employer or employers, before a notary public.  Practitioner trainee requirements are satisfied in the case of an applicant who presents proof of present licensure as a practitioner of funeral service in another state at the time application is made for licensure as a practitioner of funeral service in this State.</w:t>
      </w:r>
      <w:r>
        <w:t xml:space="preserve">  </w:t>
      </w:r>
      <w:r xmlns:wp="http://schemas.openxmlformats.org/drawingml/2010/wordprocessingDrawing" xmlns:w15="http://schemas.microsoft.com/office/word/2012/wordml">
        <w:rPr>
          <w:rFonts w:ascii="Arial" w:hAnsi="Arial" w:cs="Arial"/>
          <w:sz w:val="22"/>
          <w:szCs w:val="22"/>
        </w:rPr>
        <w:t xml:space="preserve">[PL 2017, c. 210,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§9 (NEW). PL 1969, c. 285, §4 (AMD). PL 1983, c. 468, §7 (AMD). PL 1989, c. 450, §23 (AMD). PL 2007, c. 402, Pt. J, §11 (AMD). PL 2017, c. 210, Pt. C,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§1503-A. Practitioner trainee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§1503-A. Practitioner trainee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§1503-A. PRACTITIONER TRAINEE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