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14715</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department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KK, §20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Misrepresentation of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Creation of an impression that is false or that the transient seller of consumer merchandise does not believe to be true;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Promising of performance that the transient seller of consumer merchandise does not intend to perform or believes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§20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324, §12 (NEW). PL 2007, c. 402, Pt. KK, §20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§14715.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§14715.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