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14702</w:t>
        <w:t xml:space="preserve">.  </w:t>
      </w:r>
      <w:r>
        <w:rPr>
          <w:b/>
        </w:rPr>
        <w:t xml:space="preserve">Licensure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who engages in the business of a transient seller of consumer merchandise, including a self-employed person or a person who employs one or more transient sellers of consumer merchandise, must apply to the department and acquire a license in the manner set forth in </w:t>
      </w:r>
      <w:r>
        <w:t>section 14706</w:t>
      </w:r>
      <w:r>
        <w:t xml:space="preserve"> before engaging in sales of consumer merchandise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KK, §11 (AMD).]</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R, §14 (NEW); PL 2003, c. 452, Pt. X, §2 (AFF).]</w:t>
      </w:r>
    </w:p>
    <w:p>
      <w:pPr>
        <w:jc w:val="both"/>
        <w:spacing w:before="100" w:after="0"/>
        <w:ind w:start="720"/>
      </w:pPr>
      <w:r>
        <w:rPr/>
        <w:t>B</w:t>
        <w:t xml:space="preserve">.  </w:t>
      </w:r>
      <w:r>
        <w:rPr/>
      </w:r>
      <w:r>
        <w:t xml:space="preserve">A person who intentionally violates this section commits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452, Pt. R, §14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R, §14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324, §12 (NEW). PL 2003, c. 452, §R14 (RPR). PL 2003, c. 452, §X2 (AFF). PL 2007, c. 402, Pt. KK,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§14702.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§14702.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§14702.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