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14355</w:t>
        <w:t xml:space="preserve">.  </w:t>
      </w:r>
      <w:r>
        <w:rPr>
          <w:b/>
        </w:rPr>
        <w:t xml:space="preserve">License violations</w:t>
      </w:r>
    </w:p>
    <w:p>
      <w:pPr>
        <w:jc w:val="both"/>
        <w:spacing w:before="100" w:after="100"/>
        <w:ind w:start="360"/>
        <w:ind w:firstLine="360"/>
      </w:pPr>
      <w:r>
        <w:rPr/>
      </w:r>
      <w:r>
        <w:rPr/>
      </w:r>
      <w:r>
        <w:t xml:space="preserve">A person who violates </w:t>
      </w:r>
      <w:r>
        <w:t>section 14354</w:t>
      </w:r>
      <w:r>
        <w:t xml:space="preserve">  is subject to the provisions of </w:t>
      </w:r>
      <w:r>
        <w:t>Title 10, section 8003‑C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JJ,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275, §1 (NEW). PL 1999, c. 547, §B78 (AMD). PL 1999, c. 547, §B80 (AFF). PL 2007, c. 402, Pt. JJ,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§14355. License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§14355. License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§14355. LICENSE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