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14351</w:t>
        <w:t xml:space="preserve">.  </w:t>
      </w:r>
      <w:r>
        <w:rPr>
          <w:b/>
        </w:rPr>
        <w:t xml:space="preserve">Purpose</w:t>
      </w:r>
    </w:p>
    <w:p>
      <w:pPr>
        <w:jc w:val="both"/>
        <w:spacing w:before="100" w:after="100"/>
        <w:ind w:start="360"/>
        <w:ind w:firstLine="360"/>
      </w:pPr>
      <w:r>
        <w:rPr/>
      </w:r>
      <w:r>
        <w:rPr/>
      </w:r>
      <w:r>
        <w:t xml:space="preserve">The Legislature finds that the practice of athletic training affects the public health, safety and welfare and is subject to regulation in the public interest.  The purpose of this chapter is to protect the public from unlicensed persons professing to be "athletic trainers" and from unprofessional conduct by persons licensed to use the term "athletic trainer."</w:t>
      </w:r>
      <w:r>
        <w:t xml:space="preserve">  </w:t>
      </w:r>
      <w:r xmlns:wp="http://schemas.openxmlformats.org/drawingml/2010/wordprocessingDrawing" xmlns:w15="http://schemas.microsoft.com/office/word/2012/wordml">
        <w:rPr>
          <w:rFonts w:ascii="Arial" w:hAnsi="Arial" w:cs="Arial"/>
          <w:sz w:val="22"/>
          <w:szCs w:val="22"/>
        </w:rPr>
        <w:t xml:space="preserve">[PL 2007, c. 402, Pt. JJ,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275, §1 (NEW). PL 2007, c. 402, Pt. JJ,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§14351.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§14351.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§14351.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