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14251</w:t>
        <w:t xml:space="preserve">.  </w:t>
      </w:r>
      <w:r>
        <w:rPr>
          <w:b/>
        </w:rPr>
        <w:t xml:space="preserve">Enforcement actions</w:t>
      </w:r>
    </w:p>
    <w:p>
      <w:pPr>
        <w:jc w:val="both"/>
        <w:spacing w:before="100" w:after="100"/>
        <w:ind w:start="360"/>
        <w:ind w:firstLine="360"/>
      </w:pPr>
      <w:r>
        <w:rPr/>
      </w:r>
      <w:r>
        <w:rPr/>
      </w:r>
      <w:r>
        <w:t xml:space="preserve">The State may bring an action in Superior Court to enjoin any person from violating this subchapter or rules adopted under this subchapter regardless of whether proceedings have been or may be instituted in the District Court or whether criminal proceedings have been or may be instituted.  A violation of this subchapter or any rule adopted under this subchapter is prima facie evidence of a violation of the Maine Unfair Trade Practices Act.  Responsible owners, officers and employees of licensees are personally liable to any person harmed by intentional violations of this subchapter or applicable rules, including violations of rules regarding the payment of refunds, for the amount of damage caused by the violation.</w:t>
      </w:r>
      <w:r>
        <w:t xml:space="preserve">  </w:t>
      </w:r>
      <w:r xmlns:wp="http://schemas.openxmlformats.org/drawingml/2010/wordprocessingDrawing" xmlns:w15="http://schemas.microsoft.com/office/word/2012/wordml">
        <w:rPr>
          <w:rFonts w:ascii="Arial" w:hAnsi="Arial" w:cs="Arial"/>
          <w:sz w:val="22"/>
          <w:szCs w:val="22"/>
        </w:rPr>
        <w:t xml:space="preserve">[PL 1997, c. 771, §14 (NEW); PL 1999, c. 547, Pt. B, §78 (AMD); PL 1999, c. 547, Pt. B, §80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771, §14 (NEW). PL 1999, c. 547, §B78 (AMD). PL 1999, c. 547, §B80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§14251. Enforcement actions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§14251. Enforcement actions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§14251. ENFORCEMENT ACTIONS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