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14228</w:t>
        <w:t xml:space="preserve">.  </w:t>
      </w:r>
      <w:r>
        <w:rPr>
          <w:b/>
        </w:rPr>
        <w:t xml:space="preserve">Qualifications; aesthetics</w:t>
      </w:r>
    </w:p>
    <w:p>
      <w:pPr>
        <w:jc w:val="both"/>
        <w:spacing w:before="100" w:after="100"/>
        <w:ind w:start="360"/>
        <w:ind w:firstLine="360"/>
      </w:pPr>
      <w:r>
        <w:rPr/>
      </w:r>
      <w:r>
        <w:rPr/>
      </w:r>
      <w:r>
        <w:t xml:space="preserve">A person is eligible to obtain a license under this chapter for the practice of aesthetics if that person:</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w:pPr>
        <w:jc w:val="both"/>
        <w:spacing w:before="100" w:after="0"/>
        <w:ind w:start="360"/>
        <w:ind w:firstLine="360"/>
      </w:pPr>
      <w:r>
        <w:rPr>
          <w:b/>
        </w:rPr>
        <w:t>1</w:t>
        <w:t xml:space="preserve">.  </w:t>
      </w:r>
      <w:r>
        <w:rPr>
          <w:b/>
        </w:rPr>
        <w:t xml:space="preserve">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373, §32 (RP).]</w:t>
      </w:r>
    </w:p>
    <w:p>
      <w:pPr>
        <w:jc w:val="both"/>
        <w:spacing w:before="100" w:after="0"/>
        <w:ind w:start="360"/>
        <w:ind w:firstLine="360"/>
      </w:pPr>
      <w:r>
        <w:rPr>
          <w:b/>
        </w:rPr>
        <w:t>2</w:t>
        <w:t xml:space="preserve">.  </w:t>
      </w:r>
      <w:r>
        <w:rPr>
          <w:b/>
        </w:rPr>
        <w:t xml:space="preserve">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373, §32 (RP).]</w:t>
      </w:r>
    </w:p>
    <w:p>
      <w:pPr>
        <w:jc w:val="both"/>
        <w:spacing w:before="100" w:after="0"/>
        <w:ind w:start="360"/>
        <w:ind w:firstLine="360"/>
      </w:pPr>
      <w:r>
        <w:rPr>
          <w:b/>
        </w:rPr>
        <w:t>3</w:t>
        <w:t xml:space="preserve">.  </w:t>
      </w:r>
      <w:r>
        <w:rPr>
          <w:b/>
        </w:rPr>
        <w:t xml:space="preserve">Training.</w:t>
        <w:t xml:space="preserve"> </w:t>
      </w:r>
      <w:r>
        <w:t xml:space="preserve"> </w:t>
      </w:r>
      <w:r>
        <w:t xml:space="preserve">Has satisfactorily completed a course of instruction in aesthetics of 600 hours in not less than 3 months in a school licensed by the director or has experience in the practice of aesthetics as a trainee of up to 1,000 hours distributed over a period of at least 6 months.  The specific number of hours of course work required up to a maximum of 600 hours must be specified by rule.  Rules adopted pursuant to this subsection are routine technical rules as defined in </w:t>
      </w:r>
      <w:r>
        <w:t>Title 5, chapter 375, subchapter 2‑A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369, Pt. B, §23 (AMD).]</w:t>
      </w:r>
    </w:p>
    <w:p>
      <w:pPr>
        <w:jc w:val="both"/>
        <w:spacing w:before="100" w:after="100"/>
        <w:ind w:start="360"/>
        <w:ind w:firstLine="360"/>
      </w:pPr>
      <w:r>
        <w:rPr>
          <w:b/>
        </w:rPr>
        <w:t>4</w:t>
        <w:t xml:space="preserve">.  </w:t>
      </w:r>
      <w:r>
        <w:rPr>
          <w:b/>
        </w:rPr>
        <w:t xml:space="preserve">Examination.</w:t>
        <w:t xml:space="preserve"> </w:t>
      </w:r>
      <w:r>
        <w:t xml:space="preserve"> </w:t>
      </w:r>
      <w:r>
        <w:t xml:space="preserve">Has passed an approved examination.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210, §33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286, Pt. M,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286, Pt. M,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§6 (NEW). PL 1993, c. 630, §B20 (AMD). PL 1997, c. 210, §§32-34 (AMD). PL 1999, c. 386, §U3 (AMD). PL 2001, c. 260, §G1 (AMD). PL 2007, c. 402, Pt. HH, §14 (AMD). PL 2009, c. 369, Pt. B, §§23, 24 (AMD). PL 2011, c. 286, Pt. M, §21 (AMD). PL 2019, c. 373,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§14228. Qualifications; aesthetics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§14228. Qualifications; aesthetics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§14228. QUALIFICATIONS; AESTHETICS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