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1403</w:t>
        <w:t xml:space="preserve">.  </w:t>
      </w:r>
      <w:r>
        <w:rPr>
          <w:b/>
        </w:rPr>
        <w:t xml:space="preserve">Employment of funeral directors, embalmers or practitioners of funeral services by cemeteries prohibited</w:t>
      </w:r>
    </w:p>
    <w:p>
      <w:pPr>
        <w:jc w:val="both"/>
        <w:spacing w:before="100" w:after="100"/>
        <w:ind w:start="360"/>
        <w:ind w:firstLine="360"/>
      </w:pPr>
      <w:r>
        <w:rPr/>
      </w:r>
      <w:r>
        <w:rPr/>
      </w:r>
      <w:r>
        <w:t xml:space="preserve">No funeral home, funeral establishment or person holding a license under this chapter may be employed as a funeral home, funeral establishment, or as an embalmer or funeral director or practitioner of funeral services by a cemetery, cemetery association or cemetery corporation, nor shall such person be so employed by a funeral home, funeral establishment or mortuary establishment which owns or controls or is owned or controlled by a cemetery, cemetery association or cemetery corporation. Control shall not be considered to exist because the owners, officers or employees of a funeral home, funeral establishment or mortuary establishment serve without pay or for a fee not exceeding $500 per year per person as officers or as the minority of the directors or trustees of a cemetery association or cemetery corporation in which they have no financial investment. This section does not prevent employment of persons licensed under this chapter by cemeteries, cemetery associations or cemetery corporations in other capacities than that of funeral director or embalmer or practitioner of funeral services. This section does not apply to disinterments or transfers of disinterred bodies.</w:t>
      </w:r>
      <w:r>
        <w:t xml:space="preserve">  </w:t>
      </w:r>
      <w:r xmlns:wp="http://schemas.openxmlformats.org/drawingml/2010/wordprocessingDrawing" xmlns:w15="http://schemas.microsoft.com/office/word/2012/wordml">
        <w:rPr>
          <w:rFonts w:ascii="Arial" w:hAnsi="Arial" w:cs="Arial"/>
          <w:sz w:val="22"/>
          <w:szCs w:val="22"/>
        </w:rPr>
        <w:t xml:space="preserve">[PL 1989, c. 450, §14 (AMD).]</w:t>
      </w:r>
    </w:p>
    <w:p>
      <w:pPr>
        <w:jc w:val="both"/>
        <w:spacing w:before="100" w:after="100"/>
        <w:ind w:start="360"/>
        <w:ind w:firstLine="360"/>
      </w:pPr>
      <w:r>
        <w:rPr/>
      </w:r>
      <w:r>
        <w:rPr/>
      </w:r>
      <w:r>
        <w:t xml:space="preserve">Any person who violates this section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1983, c. 413, §56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§56 (AMD). PL 1989, c. 450,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§1403. Employment of funeral directors, embalmers or practitioners of funeral services by cemeteries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§1403. Employment of funeral directors, embalmers or practitioners of funeral services by cemeteries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§1403. EMPLOYMENT OF FUNERAL DIRECTORS, EMBALMERS OR PRACTITIONERS OF FUNERAL SERVICES BY CEMETERIES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