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13782</w:t>
        <w:t xml:space="preserve">.  </w:t>
      </w:r>
      <w:r>
        <w:rPr>
          <w:b/>
        </w:rPr>
        <w:t xml:space="preserve">Advertising</w:t>
      </w:r>
    </w:p>
    <w:p>
      <w:pPr>
        <w:jc w:val="both"/>
        <w:spacing w:before="100" w:after="100"/>
        <w:ind w:start="360"/>
        <w:ind w:firstLine="360"/>
      </w:pPr>
      <w:r>
        <w:rPr/>
      </w:r>
      <w:r>
        <w:rPr/>
      </w:r>
      <w:r>
        <w:t xml:space="preserve">It is lawful for any pharmacy, pharmacist or other licensee of the board to advertise to the public the current retail price charged for any drugs, medicines or appliances as defined in the United States Code, Title 21, Section 3211 (g) (1) which bears the legend "Caution: Federal law prohibits dispensing without prescription." The advertising may be according to either the brand name or the generic name of the drug. No media advertising of any drugs included in the United States Comprehensive Drug Abuse Prevention and Control Act of 1970, 84 Stat. 1236, is permitted.</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§13782.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§13782.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§13782.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