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13756</w:t>
        <w:t xml:space="preserve">.  </w:t>
      </w:r>
      <w:r>
        <w:rPr>
          <w:b/>
        </w:rPr>
        <w:t xml:space="preserve">Electronic prescribing of opioid medication</w:t>
      </w:r>
    </w:p>
    <w:p>
      <w:pPr>
        <w:jc w:val="both"/>
        <w:spacing w:before="100" w:after="100"/>
        <w:ind w:start="360"/>
        <w:ind w:firstLine="360"/>
      </w:pPr>
      <w:r>
        <w:rPr/>
      </w:r>
      <w:r>
        <w:rPr/>
      </w:r>
      <w:r>
        <w:t xml:space="preserve">By July 1, 2017, a pharmacy must have the capability to process electronic prescriptions from prescribers for an opioid medication or request a waiver from the Commissioner of Health and Human Services stating the reasons for the waiver including but not limited to a lack of capability, the availability of broadband infrastructure and a plan for developing the ability to receive electronically prescribed opioid medication.  The commissioner may grant a waiver for circumstances in which exceptions are appropriate, including technological failures.</w:t>
      </w:r>
      <w:r>
        <w:t xml:space="preserve">  </w:t>
      </w:r>
      <w:r xmlns:wp="http://schemas.openxmlformats.org/drawingml/2010/wordprocessingDrawing" xmlns:w15="http://schemas.microsoft.com/office/word/2012/wordml">
        <w:rPr>
          <w:rFonts w:ascii="Arial" w:hAnsi="Arial" w:cs="Arial"/>
          <w:sz w:val="22"/>
          <w:szCs w:val="22"/>
        </w:rPr>
        <w:t xml:space="preserve">[PL 2015, c. 488,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§13756. Electronic prescribing of opioid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§13756. Electronic prescribing of opioid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§13756. ELECTRONIC PRESCRIBING OF OPIOID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