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12613</w:t>
        <w:t xml:space="preserve">.  </w:t>
      </w:r>
      <w:r>
        <w:rPr>
          <w:b/>
        </w:rPr>
        <w:t xml:space="preserve">Confidentiality</w:t>
      </w:r>
    </w:p>
    <w:p>
      <w:pPr>
        <w:jc w:val="both"/>
        <w:spacing w:before="100" w:after="100"/>
        <w:ind w:start="360"/>
        <w:ind w:firstLine="360"/>
      </w:pPr>
      <w:r>
        <w:rPr/>
      </w:r>
      <w:r>
        <w:rPr/>
      </w:r>
      <w:r>
        <w:t xml:space="preserve">When providing telehealth services, a person licensed under this chapter shall comply with all state and federal confidentiality and privacy laws.</w:t>
      </w:r>
      <w:r>
        <w:t xml:space="preserve">  </w:t>
      </w:r>
      <w:r xmlns:wp="http://schemas.openxmlformats.org/drawingml/2010/wordprocessingDrawing" xmlns:w15="http://schemas.microsoft.com/office/word/2012/wordml">
        <w:rPr>
          <w:rFonts w:ascii="Arial" w:hAnsi="Arial" w:cs="Arial"/>
          <w:sz w:val="22"/>
          <w:szCs w:val="22"/>
        </w:rPr>
        <w:t xml:space="preserve">[PL 2021, c. 291, Pt. B,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§12613. Confidentiality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§12613. Confidentiality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§12613. CONFIDENTIALITY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