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12534-A</w:t>
        <w:t xml:space="preserve">.  </w:t>
      </w:r>
      <w:r>
        <w:rPr>
          <w:b/>
        </w:rPr>
        <w:t xml:space="preserve">Licensure by endorsement</w:t>
      </w:r>
    </w:p>
    <w:p>
      <w:pPr>
        <w:jc w:val="both"/>
        <w:spacing w:before="100" w:after="100"/>
        <w:ind w:start="360"/>
        <w:ind w:firstLine="360"/>
      </w:pPr>
      <w:r>
        <w:rPr/>
      </w:r>
      <w:r>
        <w:rPr/>
      </w:r>
      <w:r>
        <w:t xml:space="preserve">Notwithstanding any provision of this subchapter to the contrary, the board, in accordance with </w:t>
      </w:r>
      <w:r>
        <w:t>Title 10, section 8003‑H</w:t>
      </w:r>
      <w:r>
        <w:t xml:space="preserve"> and any applicable rules adopted pursuant to that section, shall establish a process to issue a license by endorsement for each license authorized under this subchapter that the board determines is appropriate for licensure by endorsement. An applicant may submit an application under the process established under this section or any other licensure process authorized in this subchapter.</w:t>
      </w:r>
      <w:r>
        <w:t xml:space="preserve">  </w:t>
      </w:r>
      <w:r xmlns:wp="http://schemas.openxmlformats.org/drawingml/2010/wordprocessingDrawing" xmlns:w15="http://schemas.microsoft.com/office/word/2012/wordml">
        <w:rPr>
          <w:rFonts w:ascii="Arial" w:hAnsi="Arial" w:cs="Arial"/>
          <w:sz w:val="22"/>
          <w:szCs w:val="22"/>
        </w:rPr>
        <w:t xml:space="preserve">[PL 2021, c. 642, §37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§37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§12534-A. Licensure by endorsement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§12534-A. Licensure by endorsement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§12534-A. LICENSURE BY ENDORSEMENT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