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1052</w:t>
        <w:t xml:space="preserve">.  </w:t>
      </w:r>
      <w:r>
        <w:rPr>
          <w:b/>
        </w:rPr>
        <w:t xml:space="preserve">Partner's transferable interest in partnership</w:t>
      </w:r>
    </w:p>
    <w:p>
      <w:pPr>
        <w:jc w:val="both"/>
        <w:spacing w:before="100" w:after="100"/>
        <w:ind w:start="360"/>
        <w:ind w:firstLine="360"/>
      </w:pPr>
      <w:r>
        <w:rPr/>
      </w:r>
      <w:r>
        <w:rPr/>
      </w:r>
      <w:r>
        <w:t xml:space="preserve">The only transferable interest of a partner in the partnership is the partner's share of the profits and losses of the partnership, the allocations of income, gain, loss, deduction or credit or similar items related to such profits and losses and the partner's right to receive distributions.  The interest is personal property.</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§1052. Partner's transferable interest in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§1052. Partner's transferable interest in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§1052. PARTNER'S TRANSFERABLE INTEREST IN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