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Washington County the county commissioners may appropriate money according to a budget that must be approved by a majority of the county commissioners or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1997, c. 279, §1 (AMD).]</w:t>
      </w:r>
    </w:p>
    <w:p>
      <w:pPr>
        <w:jc w:val="both"/>
        <w:spacing w:before="100" w:after="100"/>
        <w:ind w:start="360"/>
      </w:pPr>
      <w:r>
        <w:rPr>
          <w:b w:val="true"/>
          <w:i/>
          <w:caps w:val="true"/>
        </w:rPr>
        <w:t xml:space="preserve">Revisor's Note: </w:t>
      </w:r>
      <w:r>
        <w:t>§900.  Review (As enacted by PL 1993, c. 582, §1 was REPEALED by PL 1995, c. 462, Pt. A, §52)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1993, c. 582, §1 (NEW). PL 1995, c. 462, §A52 (RP). PL 1997, c. 279,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