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Advisory committee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There is established a Franklin County Budget Advisory Committee comprised as follows.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UNTIL 11/5/24)</w:t>
        <w:t xml:space="preserve"> </w:t>
      </w:r>
      <w:r>
        <w:rPr>
          <w:b/>
        </w:rPr>
        <w:t xml:space="preserve">Municipal officers.</w:t>
        <w:t xml:space="preserve"> </w:t>
      </w:r>
      <w:r>
        <w:t xml:space="preserve"> </w:t>
      </w:r>
      <w:r>
        <w:t xml:space="preserve">Municipal officers within each commissioner district shall caucus and shall elect municipal officers from that district to fill vacancies as they arise, for terms as provided in </w:t>
      </w:r>
      <w:r>
        <w:t>paragraph A</w:t>
      </w:r>
      <w:r>
        <w:t xml:space="preserv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There must be 3 members from each commissioner district.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11/5/24)</w:t>
        <w:t xml:space="preserve"> </w:t>
      </w:r>
      <w:r>
        <w:rPr>
          <w:b/>
        </w:rPr>
        <w:t xml:space="preserve">Municipal officers.</w:t>
        <w:t xml:space="preserve"> </w:t>
      </w:r>
      <w:r>
        <w:t xml:space="preserve"> </w:t>
      </w:r>
      <w:r>
        <w:t xml:space="preserve">By April 1st of each year, municipal officers within each commissioner district shall caucus and shall elect municipal officers from that district to fill vacancies for terms as provided in </w:t>
      </w:r>
      <w:r>
        <w:t>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262, §1 (RP); PL 2023, c. 262, §5 (AFF).]</w:t>
      </w:r>
    </w:p>
    <w:p>
      <w:pPr>
        <w:jc w:val="both"/>
        <w:spacing w:before="100" w:after="0"/>
        <w:ind w:start="720"/>
      </w:pPr>
      <w:r>
        <w:rPr/>
        <w:t>B</w:t>
        <w:t xml:space="preserve">.  </w:t>
      </w:r>
      <w:r>
        <w:rPr/>
      </w:r>
      <w:r>
        <w:t xml:space="preserve">Each commissioner district has 2 permanent members. Members serve for 3-year terms. There is a rotating member who serves a one-year term, selected in 2025 by commissioner district one, selected in 2026 by commissioner district 2, selected in 2027 by commissioner district 3, selected in 2028 by commissioner district 4, selected in 2029 by commissioner district 5 and selected in 2030 and succeeding years in the same order as the first 5 years under this paragraph.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262, §1 (NEW); PL 2023, c. 262,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§1 (AMD); PL 2023, c. 262, §5 (AFF).]</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Franklin County legislative delegation shall select one of the delegation's members to serve as a nonvoting member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Committee chair.</w:t>
        <w:t xml:space="preserve"> </w:t>
      </w:r>
      <w:r>
        <w:t xml:space="preserve"> </w:t>
      </w:r>
      <w:r>
        <w:t xml:space="preserve">The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262, §1 (AMD). PL 2023, c. 262,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