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another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§8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budget adopted by the budget committee may be changed only by a majority vote of the county commissioners and a majority vote of all elected members of the budget committee.  Those actions are final and are not subject to further action by either the county commissioners or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The budget adopted and changed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2023, c. 87,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§833.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§833.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