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the county shall operate on an interim budget, which may not exceed 80% of the previous year's budget, until a budget is finally adopted.</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§762.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