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762</w:t>
        <w:t xml:space="preserve">.  </w:t>
      </w:r>
      <w:r>
        <w:rPr>
          <w:b/>
        </w:rPr>
        <w:t xml:space="preserve">Interim budget</w:t>
      </w:r>
    </w:p>
    <w:p>
      <w:pPr>
        <w:jc w:val="both"/>
        <w:spacing w:before="100" w:after="100"/>
        <w:ind w:start="360"/>
        <w:ind w:firstLine="360"/>
      </w:pPr>
      <w:r>
        <w:rPr/>
      </w:r>
      <w:r>
        <w:rPr/>
      </w:r>
      <w:r>
        <w:t xml:space="preserve">If the budget is not approved before the start of a fiscal year, the county shall operate on an interim budget, which may not exceed 80% of the previous year's budget, until a budget is finally adopted.</w:t>
      </w:r>
      <w:r>
        <w:t xml:space="preserve">  </w:t>
      </w:r>
      <w:r xmlns:wp="http://schemas.openxmlformats.org/drawingml/2010/wordprocessingDrawing" xmlns:w15="http://schemas.microsoft.com/office/word/2012/wordml">
        <w:rPr>
          <w:rFonts w:ascii="Arial" w:hAnsi="Arial" w:cs="Arial"/>
          <w:sz w:val="22"/>
          <w:szCs w:val="22"/>
        </w:rPr>
        <w:t xml:space="preserve">[PL 1991, c. 749,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§762. Interim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§762. Interim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§762. INTERIM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