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7303</w:t>
        <w:t xml:space="preserve">.  </w:t>
      </w:r>
      <w:r>
        <w:rPr>
          <w:b/>
        </w:rPr>
        <w:t xml:space="preserve">Debts of municipalities and school districts therein</w:t>
      </w:r>
    </w:p>
    <w:p>
      <w:pPr>
        <w:jc w:val="both"/>
        <w:spacing w:before="100" w:after="100"/>
        <w:ind w:start="360"/>
        <w:ind w:firstLine="360"/>
      </w:pPr>
      <w:r>
        <w:rPr/>
      </w:r>
      <w:r>
        <w:rPr/>
      </w:r>
      <w:r>
        <w:t xml:space="preserve">When municipalities are deorganized by a repeal of their charters, and their liabilities are excepted and reserved by the repealing act, legal service of process to collect those liabilities may be made on any inhabitant of lawful age residing in the territory included in the municipality, provided that there are no legal officers in that territory on whom service can be made.  This section extends to school districts in deorganized municipalities so far as applicable.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§7303. Debts of municipalities and school districts therein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§7303. Debts of municipalities and school districts therein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§7303. DEBTS OF MUNICIPALITIES AND SCHOOL DISTRICTS THEREIN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