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5655</w:t>
        <w:t xml:space="preserve">.  </w:t>
      </w:r>
      <w:r>
        <w:rPr>
          <w:b/>
        </w:rPr>
        <w:t xml:space="preserve">Unconditional gifts</w:t>
      </w:r>
    </w:p>
    <w:p>
      <w:pPr>
        <w:jc w:val="both"/>
        <w:spacing w:before="100" w:after="100"/>
        <w:ind w:start="360"/>
        <w:ind w:firstLine="360"/>
      </w:pPr>
      <w:r>
        <w:rPr/>
      </w:r>
      <w:r>
        <w:rPr/>
      </w:r>
      <w:r>
        <w:t xml:space="preserve">A gift without conditions, of any type of property, offered to a municipality may be accepted or rejected by its legislative body, except for forfeited assets conveyed to the municipality pursuant to </w:t>
      </w:r>
      <w:r>
        <w:t>Title 15, chapter 517</w:t>
      </w:r>
      <w:r>
        <w:t xml:space="preserve">, which may be accepted or rejected by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1999, c. 408,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1999, c. 408,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§5655. Unconditional gifts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§5655. Unconditional gifts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§5655. UNCONDITIONAL GIFTS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