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5212</w:t>
        <w:t xml:space="preserve">.  </w:t>
      </w:r>
      <w:r>
        <w:rPr>
          <w:b/>
        </w:rPr>
        <w:t xml:space="preserve">Capital improvement districts authorized</w:t>
      </w:r>
    </w:p>
    <w:p>
      <w:pPr>
        <w:jc w:val="both"/>
        <w:spacing w:before="100" w:after="100"/>
        <w:ind w:start="360"/>
        <w:ind w:firstLine="360"/>
      </w:pPr>
      <w:r>
        <w:rPr/>
      </w:r>
      <w:r>
        <w:rPr/>
      </w:r>
      <w:r>
        <w:t xml:space="preserve">A municipality may create one or more capital improvement districts within the municipal boundaries.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§5212. Capital improvement districts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§5212. Capital improvement districts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§5212. CAPITAL IMPROVEMENT DISTRICTS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