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4907</w:t>
        <w:t xml:space="preserve">.  </w:t>
      </w:r>
      <w:r>
        <w:rPr>
          <w:b/>
        </w:rPr>
        <w:t xml:space="preserve">Limitations</w:t>
      </w:r>
    </w:p>
    <w:p>
      <w:pPr>
        <w:jc w:val="both"/>
        <w:spacing w:before="100" w:after="0"/>
        <w:ind w:start="360"/>
        <w:ind w:firstLine="360"/>
      </w:pPr>
      <w:r>
        <w:rPr>
          <w:b/>
        </w:rPr>
        <w:t>1</w:t>
        <w:t xml:space="preserve">.  </w:t>
      </w:r>
      <w:r>
        <w:rPr>
          <w:b/>
        </w:rPr>
        <w:t xml:space="preserve">Limitations on amount of outstanding principal.</w:t>
        <w:t xml:space="preserve"> </w:t>
      </w:r>
      <w:r>
        <w:t xml:space="preserve"> </w:t>
      </w:r>
      <w:r>
        <w:t xml:space="preserve">The Maine State Housing Authority may not at any time have an aggregate principal amount outstanding, in excess of $3,000,000,000 of mortgage purchase bonds secured by the Housing Reserve Fund or a Capital Reserve Fund to which </w:t>
      </w:r>
      <w:r>
        <w:t>section 4906, subsection 3, paragraph A</w:t>
      </w:r>
      <w:r>
        <w:t xml:space="preserve"> applies.  Mortgage purchase bonds of the Maine State Housing Authority secured by capital reserve funds to which section 4906, subsection 3, paragraph A does not apply, bond or mortgage insurance, direct or indirect contract with the United States, purchase or repurchase agreement of guaranty with a banking or other financial organization or other credit arrangements securing the bonds may be issued up to $100,000,000 per calendar year in an aggregate principal amount outstanding at any time not to exceed $300,000,000.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559, §1 (AMD).]</w:t>
      </w:r>
    </w:p>
    <w:p>
      <w:pPr>
        <w:jc w:val="both"/>
        <w:spacing w:before="100" w:after="100"/>
        <w:ind w:start="360"/>
        <w:ind w:firstLine="360"/>
      </w:pPr>
      <w:r>
        <w:rPr>
          <w:b/>
        </w:rPr>
        <w:t>2</w:t>
        <w:t xml:space="preserve">.  </w:t>
      </w:r>
      <w:r>
        <w:rPr>
          <w:b/>
        </w:rPr>
        <w:t xml:space="preserve">Bond rating.</w:t>
        <w:t xml:space="preserve"> </w:t>
      </w:r>
      <w:r>
        <w:t xml:space="preserve"> </w:t>
      </w:r>
      <w:r>
        <w:t xml:space="preserve">Mortgage purchase bonds must be rated at or before issuance of the bonds in a rating category of A or its equivalent or better by a nationally recognized rating agency.  A rating is not necessary for any issue of mortgage purchase bonds which:</w:t>
      </w:r>
    </w:p>
    <w:p>
      <w:pPr>
        <w:jc w:val="both"/>
        <w:spacing w:before="100" w:after="0"/>
        <w:ind w:start="720"/>
      </w:pPr>
      <w:r>
        <w:rPr/>
        <w:t>A</w:t>
        <w:t xml:space="preserve">.  </w:t>
      </w:r>
      <w:r>
        <w:rPr/>
      </w:r>
      <w:r>
        <w:t xml:space="preserve">Is not subject to </w:t>
      </w:r>
      <w:r>
        <w:t>section 4906, subsection 3,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Is sold in its entirety to one or more financial institutions, insurance companies or similar finance entities for its own account and not with the present intention of resale.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48, §§6,31 (AMD). PL 1989, c. 104, §§C8,10 (AMD). PL 1989, c. 914, §6 (AMD). PL 1991, c. 574, §3 (AMD). PL 1991, c. 871, §5 (AMD). PL 1997, c. 491, §1 (AMD). PL 2001, c. 631, §1 (AMD). PL 2023, c. 559,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§4907.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§4907.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§4907.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