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§4803. Issuance of bonds;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§4803. Issuance of bonds;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§4803. ISSUANCE OF BONDS;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