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4370</w:t>
        <w:t xml:space="preserve">.  </w:t>
      </w:r>
      <w:r>
        <w:rPr>
          <w:b/>
        </w:rPr>
        <w:t xml:space="preserve">Appeal</w:t>
      </w:r>
    </w:p>
    <w:p>
      <w:pPr>
        <w:jc w:val="both"/>
        <w:spacing w:before="100" w:after="100"/>
        <w:ind w:start="360"/>
        <w:ind w:firstLine="360"/>
      </w:pPr>
      <w:r>
        <w:rPr/>
      </w:r>
      <w:r>
        <w:rPr/>
      </w:r>
      <w:r>
        <w:t xml:space="preserve">The provisions of this subchapter granting persons, municipalities, the State and other entities the opportunity to provide input on a municipal land use permit or approval do not, and may not be interpreted to, authorize persons or entities who would not, absent the provisions of this subchapter, have an interest in or otherwise have standing to appeal a municipal action on the permit or approval.</w:t>
      </w:r>
      <w:r>
        <w:t xml:space="preserve">  </w:t>
      </w:r>
      <w:r xmlns:wp="http://schemas.openxmlformats.org/drawingml/2010/wordprocessingDrawing" xmlns:w15="http://schemas.microsoft.com/office/word/2012/wordml">
        <w:rPr>
          <w:rFonts w:ascii="Arial" w:hAnsi="Arial" w:cs="Arial"/>
          <w:sz w:val="22"/>
          <w:szCs w:val="22"/>
        </w:rPr>
        <w:t xml:space="preserve">[PL 2007, c. 347,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§4370.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§4370.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§4370.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