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§3443. Arbitration of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§3443. Arbitration of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§3443. ARBITRATION OF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