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Rat control</w:t>
      </w:r>
    </w:p>
    <w:p>
      <w:pPr>
        <w:jc w:val="both"/>
        <w:spacing w:before="100" w:after="100"/>
        <w:ind w:start="360"/>
        <w:ind w:firstLine="360"/>
      </w:pPr>
      <w:r>
        <w:rPr/>
      </w:r>
      <w:r>
        <w:rPr/>
      </w:r>
      <w:r>
        <w:t xml:space="preserve">Whenever a municipality maintains public dumping grounds, its municipal officers shall have the dumping grounds treated,  when needed, with proper rat exterminating agents.  These agents must be applied by competent persons properly certified for their 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At the request of the municipal officers of any municipality, the Board of Pesticides Control shall provide information on the most effective methods and materials for the purpose of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§3353. Rat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Rat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§3353. RAT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