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3284</w:t>
        <w:t xml:space="preserve">.  </w:t>
      </w:r>
      <w:r>
        <w:rPr>
          <w:b/>
        </w:rPr>
        <w:t xml:space="preserve">Injury or destruction to trees; penalty</w:t>
      </w:r>
    </w:p>
    <w:p>
      <w:pPr>
        <w:jc w:val="both"/>
        <w:spacing w:before="100" w:after="100"/>
        <w:ind w:start="360"/>
        <w:ind w:firstLine="360"/>
      </w:pPr>
      <w:r>
        <w:rPr/>
      </w:r>
      <w:r>
        <w:rPr/>
      </w:r>
      <w:r>
        <w:t xml:space="preserve">Whoever trims, cuts or otherwise damages or destroys a public shade tree commits a civil violation for which a forfeiture of not less than $5 nor more than $25 may be adjudged.  The forfeiture shall be paid to the municipality in which the offense is committed and expended by that municipality for the purposes specified in this subchapter and </w:t>
      </w:r>
      <w:r>
        <w:t>section 3263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§3284. Injury or destruction to trees;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§3284. Injury or destruction to trees;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§3284. INJURY OR DESTRUCTION TO TREES;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