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3111</w:t>
        <w:t xml:space="preserve">.  </w:t>
      </w:r>
      <w:r>
        <w:rPr>
          <w:b/>
        </w:rPr>
        <w:t xml:space="preserve">Vehicle emissions goals</w:t>
      </w:r>
    </w:p>
    <w:p>
      <w:pPr>
        <w:jc w:val="both"/>
        <w:spacing w:before="100" w:after="100"/>
        <w:ind w:start="360"/>
        <w:ind w:firstLine="360"/>
      </w:pPr>
      <w:r>
        <w:rPr/>
      </w:r>
      <w:r>
        <w:rPr/>
      </w:r>
      <w:r>
        <w:t xml:space="preserve">In acquiring by purchase or lease light-duty motor vehicles a municipality shall to the extent practicable do so in a manner designed to increase by 2035 the percentage of plug-in hybrid electric vehicles and zero-emission vehicles acquired annually to 100% of the annual acquisitions of light-duty motor vehicles.</w:t>
      </w:r>
      <w:r>
        <w:t xml:space="preserve">  </w:t>
      </w:r>
      <w:r xmlns:wp="http://schemas.openxmlformats.org/drawingml/2010/wordprocessingDrawing" xmlns:w15="http://schemas.microsoft.com/office/word/2012/wordml">
        <w:rPr>
          <w:rFonts w:ascii="Arial" w:hAnsi="Arial" w:cs="Arial"/>
          <w:sz w:val="22"/>
          <w:szCs w:val="22"/>
        </w:rPr>
        <w:t xml:space="preserve">[PL 2021, c. 693, §6 (NEW).]</w:t>
      </w:r>
    </w:p>
    <w:p>
      <w:pPr>
        <w:jc w:val="both"/>
        <w:spacing w:before="100" w:after="100"/>
        <w:ind w:start="360"/>
        <w:ind w:firstLine="360"/>
      </w:pPr>
      <w:r>
        <w:rPr/>
      </w:r>
      <w:r>
        <w:rPr/>
      </w:r>
      <w:r>
        <w:t xml:space="preserve">For purposes of this section, "light-duty motor vehicle" means any vehicle with a gross vehicle weight rating of less than 10,000 pounds and "plug-in hybrid electric vehicle" has the same meaning as in </w:t>
      </w:r>
      <w:r>
        <w:t>Title 35‑A, section 10126,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693,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693,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§3111. Vehicle emissions goals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§3111. Vehicle emissions goals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§3111. VEHICLE EMISSIONS GOALS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