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w:t>
        <w:t xml:space="preserve">.  </w:t>
      </w:r>
      <w:r>
        <w:rPr>
          <w:b/>
        </w:rPr>
        <w:t xml:space="preserve">Expense accounts to be under oath</w:t>
      </w:r>
    </w:p>
    <w:p>
      <w:pPr>
        <w:jc w:val="both"/>
        <w:spacing w:before="100" w:after="100"/>
        <w:ind w:start="360"/>
        <w:ind w:firstLine="360"/>
      </w:pPr>
      <w:r>
        <w:rPr/>
      </w:r>
      <w:r>
        <w:rPr/>
      </w:r>
      <w:r>
        <w:t xml:space="preserve">Whenever required by law to provide a bill of expenses, every county officer shall itemize the bill and swear, before presenting it for auditing or payment, that it includes only actual cash spent in performing the officer's official duties.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 Expense accounts to be under oath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 Expense accounts to be under oath</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 EXPENSE ACCOUNTS TO BE UNDER OATH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